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518"/>
        <w:tblW w:w="14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93"/>
        <w:gridCol w:w="6669"/>
        <w:gridCol w:w="1561"/>
        <w:gridCol w:w="1728"/>
        <w:gridCol w:w="1706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tblHeader/>
        </w:trPr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66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内容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牵头领导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责任部门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承办单位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1月</w:t>
            </w:r>
          </w:p>
        </w:tc>
        <w:tc>
          <w:tcPr>
            <w:tcW w:w="6669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讨论主席会、常委会议题计划及相关工作安排。</w:t>
            </w: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赵玉影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办公室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研究室</w:t>
            </w: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各委室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3月</w:t>
            </w:r>
          </w:p>
        </w:tc>
        <w:tc>
          <w:tcPr>
            <w:tcW w:w="6669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通报提案分析情况，确定驻会主席督办提案。</w:t>
            </w: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赵玉影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一室</w:t>
            </w: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各委室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9月</w:t>
            </w:r>
          </w:p>
        </w:tc>
        <w:tc>
          <w:tcPr>
            <w:tcW w:w="6669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研究常委会建议案。</w:t>
            </w: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赵玉影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相关委室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办公室</w:t>
            </w: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相关委室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</w:t>
            </w:r>
          </w:p>
        </w:tc>
        <w:tc>
          <w:tcPr>
            <w:tcW w:w="6669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听取区法院、区检察院工作情况通报</w:t>
            </w: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赵玉影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六室</w:t>
            </w: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区法院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区检察院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</w:t>
            </w:r>
          </w:p>
        </w:tc>
        <w:tc>
          <w:tcPr>
            <w:tcW w:w="6669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视察区人力社保工作。</w:t>
            </w: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赵玉影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六室</w:t>
            </w: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区人力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社保局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11月</w:t>
            </w:r>
          </w:p>
        </w:tc>
        <w:tc>
          <w:tcPr>
            <w:tcW w:w="6669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总结区政协工作，通过三个表彰决定；研究召开区政协六届三次会议有关事宜；听取委员履职情况汇报。</w:t>
            </w:r>
          </w:p>
        </w:tc>
        <w:tc>
          <w:tcPr>
            <w:tcW w:w="15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赵玉影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研究室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一室、二室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办公室</w:t>
            </w: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各委室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29861</dc:creator>
  <cp:lastModifiedBy>ゆ　　温柔。</cp:lastModifiedBy>
  <dcterms:modified xsi:type="dcterms:W3CDTF">2018-05-28T05:35:29Z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